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ED12F26" w14:textId="22394C6E" w:rsidR="008469AA" w:rsidRDefault="00000000">
      <w:pPr>
        <w:pStyle w:val="Heading2"/>
        <w:rPr>
          <w:rFonts w:hint="eastAsia"/>
        </w:rPr>
      </w:pPr>
      <w:r>
        <w:lastRenderedPageBreak/>
        <w:t>13. Tripwire Check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2A0A81A6" w14:textId="77777777" w:rsidR="008469AA" w:rsidRDefault="00000000">
      <w:r>
        <w:rPr>
          <w:b/>
          <w:bCs/>
        </w:rPr>
        <w:t>Question:</w:t>
      </w:r>
      <w:r>
        <w:t xml:space="preserve"> A $250 item is 10% off, then another 10% off. A student says the final price is $200.</w:t>
      </w:r>
    </w:p>
    <w:p w14:paraId="282BC0F7" w14:textId="77777777" w:rsidR="00BF08B5" w:rsidRDefault="00BF08B5">
      <w:pPr>
        <w:pStyle w:val="Heading3"/>
        <w:keepNext/>
      </w:pPr>
      <w:bookmarkStart w:id="428" w:name="complete-response_Copy_6"/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8: Multi-Step Percent Problems — Tripwire Check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